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  <w:lang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  <w:lang w:eastAsia="zh-CN"/>
        </w:rPr>
        <w:t>附件二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课程安排（暂定）</w:t>
      </w:r>
    </w:p>
    <w:tbl>
      <w:tblPr>
        <w:tblStyle w:val="3"/>
        <w:tblW w:w="818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2772"/>
        <w:gridCol w:w="867"/>
        <w:gridCol w:w="822"/>
        <w:gridCol w:w="854"/>
        <w:gridCol w:w="882"/>
        <w:gridCol w:w="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学时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理论学时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实践学时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创业基础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创业基础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SYB创业课程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创新创业特质沙盘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企业经营管理沙盘模拟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实践课程模块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企业参观考察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创业计划书及项目路演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选修课程模块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沙龙、讲座等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1/2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创新创业竞赛</w:t>
            </w:r>
          </w:p>
        </w:tc>
        <w:tc>
          <w:tcPr>
            <w:tcW w:w="43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参照《湖南科技学院创新创业学分积累及转换管理办法》执行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6408"/>
    <w:rsid w:val="2CB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2019-10-10T07:13:00Z</dcterms:created>
  <dc:creator>查拉图斯</dc:creator>
  <lastModifiedBy>查拉图斯</lastModifiedBy>
  <dcterms:modified xsi:type="dcterms:W3CDTF">2019-10-10T07:13:19Z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