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364" w:type="dxa"/>
        <w:jc w:val="center"/>
        <w:tblInd w:w="0" w:type="dxa"/>
        <w:tblLayout w:type="fixed"/>
        <w:tblCellMar>
          <w:top w:w="0" w:type="dxa"/>
          <w:left w:w="108" w:type="dxa"/>
          <w:bottom w:w="0" w:type="dxa"/>
          <w:right w:w="108" w:type="dxa"/>
        </w:tblCellMar>
      </w:tblPr>
      <w:tblGrid>
        <w:gridCol w:w="8364"/>
      </w:tblGrid>
      <w:tr>
        <w:tblPrEx>
          <w:tblLayout w:type="fixed"/>
          <w:tblCellMar>
            <w:top w:w="0" w:type="dxa"/>
            <w:left w:w="108" w:type="dxa"/>
            <w:bottom w:w="0" w:type="dxa"/>
            <w:right w:w="108" w:type="dxa"/>
          </w:tblCellMar>
        </w:tblPrEx>
        <w:trPr>
          <w:jc w:val="center"/>
        </w:trPr>
        <w:tc>
          <w:tcPr>
            <w:tcW w:w="8364" w:type="dxa"/>
            <w:shd w:val="clear" w:color="auto" w:fill="auto"/>
            <w:vAlign w:val="center"/>
          </w:tcPr>
          <w:p>
            <w:pPr>
              <w:snapToGrid w:val="0"/>
              <w:jc w:val="distribute"/>
              <w:rPr>
                <w:rFonts w:hint="eastAsia"/>
                <w:w w:val="80"/>
                <w:sz w:val="112"/>
                <w:szCs w:val="112"/>
              </w:rPr>
            </w:pPr>
            <w:r>
              <w:rPr>
                <w:rFonts w:hint="eastAsia" w:eastAsia="方正小标宋简体"/>
                <w:color w:val="FF0000"/>
                <w:w w:val="80"/>
                <w:sz w:val="112"/>
                <w:szCs w:val="112"/>
              </w:rPr>
              <w:t>湖南省教育厅</w:t>
            </w:r>
          </w:p>
        </w:tc>
      </w:tr>
    </w:tbl>
    <w:p>
      <w:pPr>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-304800</wp:posOffset>
                </wp:positionH>
                <wp:positionV relativeFrom="paragraph">
                  <wp:posOffset>-50800</wp:posOffset>
                </wp:positionV>
                <wp:extent cx="5974080" cy="0"/>
                <wp:effectExtent l="0" t="28575" r="762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974080" cy="0"/>
                        </a:xfrm>
                        <a:prstGeom prst="line">
                          <a:avLst/>
                        </a:prstGeom>
                        <a:noFill/>
                        <a:ln w="57150" cmpd="thickThin">
                          <a:solidFill>
                            <a:srgbClr val="FF0000"/>
                          </a:solidFill>
                          <a:round/>
                        </a:ln>
                      </wps:spPr>
                      <wps:bodyPr/>
                    </wps:wsp>
                  </a:graphicData>
                </a:graphic>
              </wp:anchor>
            </w:drawing>
          </mc:Choice>
          <mc:Fallback>
            <w:pict>
              <v:line id="_x0000_s1026" o:spid="_x0000_s1026" o:spt="20" style="position:absolute;left:0pt;margin-left:-24pt;margin-top:-4pt;height:0pt;width:470.4pt;z-index:251659264;mso-width-relative:page;mso-height-relative:page;" filled="f" stroked="t" coordsize="21600,21600" o:gfxdata="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MTCo0wAAAAkBAAAPAAAAAAAAAAEAIAAAACIA&#10;AABkcnMvZG93bnJldi54bWxQSwECFAAUAAAACACHTuJAnro8gNUBAABuAwAADgAAAAAAAAABACAA&#10;AAAiAQAAZHJzL2Uyb0RvYy54bWxQSwUGAAAAAAYABgBZAQAAaQUAAAAA&#10;">
                <v:fill on="f" focussize="0,0"/>
                <v:stroke weight="4.5pt" color="#FF0000" linestyle="thickThin" joinstyle="round"/>
                <v:imagedata o:title=""/>
                <o:lock v:ext="edit" aspectratio="f"/>
              </v:line>
            </w:pict>
          </mc:Fallback>
        </mc:AlternateContent>
      </w:r>
    </w:p>
    <w:p>
      <w:pPr>
        <w:contextualSpacing/>
        <w:jc w:val="right"/>
        <w:rPr>
          <w:rFonts w:hint="eastAsia" w:ascii="仿宋_GB2312" w:eastAsia="仿宋_GB2312"/>
          <w:sz w:val="32"/>
          <w:szCs w:val="32"/>
        </w:rPr>
      </w:pPr>
      <w:r>
        <w:rPr>
          <w:rFonts w:hint="eastAsia" w:ascii="仿宋_GB2312" w:eastAsia="仿宋_GB2312"/>
          <w:sz w:val="32"/>
          <w:szCs w:val="32"/>
        </w:rPr>
        <w:t>湘教通〔2018〕161号</w:t>
      </w:r>
    </w:p>
    <w:p>
      <w:pPr>
        <w:contextualSpacing/>
        <w:rPr>
          <w:rFonts w:hint="eastAsia" w:ascii="仿宋_GB2312" w:eastAsia="仿宋_GB2312"/>
          <w:sz w:val="32"/>
          <w:szCs w:val="32"/>
        </w:rPr>
      </w:pPr>
    </w:p>
    <w:p>
      <w:pPr>
        <w:spacing w:line="600" w:lineRule="exact"/>
        <w:contextualSpacing/>
        <w:jc w:val="center"/>
        <w:rPr>
          <w:rFonts w:hint="eastAsia" w:ascii="方正小标宋简体" w:eastAsia="方正小标宋简体"/>
          <w:sz w:val="44"/>
          <w:szCs w:val="44"/>
        </w:rPr>
      </w:pPr>
      <w:r>
        <w:rPr>
          <w:rFonts w:hint="eastAsia" w:ascii="方正小标宋简体" w:eastAsia="方正小标宋简体"/>
          <w:sz w:val="44"/>
          <w:szCs w:val="44"/>
        </w:rPr>
        <w:t>关于开展2018年全省普通高校教师</w:t>
      </w:r>
    </w:p>
    <w:p>
      <w:pPr>
        <w:spacing w:line="600" w:lineRule="exact"/>
        <w:contextualSpacing/>
        <w:jc w:val="center"/>
        <w:rPr>
          <w:rFonts w:hint="eastAsia" w:ascii="方正小标宋简体" w:eastAsia="方正小标宋简体"/>
          <w:sz w:val="44"/>
          <w:szCs w:val="44"/>
        </w:rPr>
      </w:pPr>
      <w:r>
        <w:rPr>
          <w:rFonts w:hint="eastAsia" w:ascii="方正小标宋简体" w:eastAsia="方正小标宋简体"/>
          <w:sz w:val="44"/>
          <w:szCs w:val="44"/>
        </w:rPr>
        <w:t>信息化教学竞赛的通知</w:t>
      </w:r>
    </w:p>
    <w:p>
      <w:pPr>
        <w:shd w:val="clear" w:color="auto" w:fill="FFFFFF"/>
        <w:ind w:firstLine="604" w:firstLineChars="200"/>
        <w:contextualSpacing/>
        <w:rPr>
          <w:rFonts w:hint="eastAsia" w:ascii="仿宋_GB2312" w:eastAsia="仿宋_GB2312"/>
          <w:color w:val="000000"/>
          <w:kern w:val="0"/>
          <w:sz w:val="32"/>
          <w:szCs w:val="32"/>
        </w:rPr>
      </w:pPr>
      <w:r>
        <w:rPr>
          <w:rFonts w:hint="eastAsia" w:ascii="仿宋_GB2312" w:eastAsia="仿宋_GB2312"/>
          <w:color w:val="000000"/>
          <w:kern w:val="0"/>
          <w:sz w:val="32"/>
          <w:szCs w:val="32"/>
        </w:rPr>
        <w:t xml:space="preserve"> </w:t>
      </w:r>
    </w:p>
    <w:p>
      <w:pPr>
        <w:contextualSpacing/>
        <w:rPr>
          <w:rFonts w:hint="eastAsia" w:ascii="仿宋_GB2312" w:eastAsia="仿宋_GB2312"/>
          <w:sz w:val="32"/>
          <w:szCs w:val="32"/>
        </w:rPr>
      </w:pPr>
      <w:r>
        <w:rPr>
          <w:rFonts w:hint="eastAsia" w:ascii="仿宋_GB2312" w:eastAsia="仿宋_GB2312"/>
          <w:sz w:val="32"/>
          <w:szCs w:val="32"/>
        </w:rPr>
        <w:t>各普通本科学校：</w:t>
      </w:r>
    </w:p>
    <w:p>
      <w:pPr>
        <w:shd w:val="clear" w:color="auto" w:fill="FFFFFF"/>
        <w:ind w:firstLine="604" w:firstLineChars="200"/>
        <w:contextualSpacing/>
        <w:rPr>
          <w:rFonts w:hint="eastAsia" w:ascii="仿宋_GB2312" w:eastAsia="仿宋_GB2312"/>
          <w:color w:val="000000"/>
          <w:kern w:val="0"/>
          <w:sz w:val="32"/>
          <w:szCs w:val="32"/>
        </w:rPr>
      </w:pPr>
      <w:r>
        <w:rPr>
          <w:rFonts w:hint="eastAsia" w:ascii="仿宋_GB2312" w:eastAsia="仿宋_GB2312"/>
          <w:color w:val="000000"/>
          <w:kern w:val="0"/>
          <w:sz w:val="32"/>
          <w:szCs w:val="32"/>
        </w:rPr>
        <w:t>为深入贯彻落实党的十九大精神和《中共中央国务院关于全面深化新时代教师队伍建设改革的意见》，进一步激励和引导教师主动适应信息化、人工智能等新技术变革，积极有效开展教育教学，不断提高课程育人能力，推动高等教育内涵式发展，提高高等教育现代化水平，我厅组织修订了《湖南省普通高校教师信息化教学竞赛章程》，并就2018年全省普通高校教师信息化教学竞赛的有关事项通知如下：</w:t>
      </w:r>
    </w:p>
    <w:p>
      <w:pPr>
        <w:shd w:val="clear" w:color="auto" w:fill="FFFFFF"/>
        <w:ind w:firstLine="576" w:firstLineChars="300"/>
        <w:contextualSpacing/>
        <w:rPr>
          <w:rFonts w:hint="eastAsia" w:ascii="仿宋_GB2312" w:eastAsia="仿宋_GB2312"/>
          <w:color w:val="000000"/>
          <w:kern w:val="0"/>
          <w:sz w:val="32"/>
          <w:szCs w:val="32"/>
        </w:rPr>
      </w:pPr>
      <w:bookmarkStart w:id="4" w:name="_GoBack"/>
      <w:r>
        <w:rPr>
          <w:rFonts w:hint="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2138045</wp:posOffset>
                </wp:positionV>
                <wp:extent cx="5974080" cy="0"/>
                <wp:effectExtent l="0" t="28575" r="7620" b="2857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974080" cy="0"/>
                        </a:xfrm>
                        <a:prstGeom prst="line">
                          <a:avLst/>
                        </a:prstGeom>
                        <a:noFill/>
                        <a:ln w="57150" cmpd="thinThick">
                          <a:solidFill>
                            <a:srgbClr val="FF0000"/>
                          </a:solidFill>
                          <a:round/>
                        </a:ln>
                      </wps:spPr>
                      <wps:bodyPr/>
                    </wps:wsp>
                  </a:graphicData>
                </a:graphic>
              </wp:anchor>
            </w:drawing>
          </mc:Choice>
          <mc:Fallback>
            <w:pict>
              <v:line id="_x0000_s1026" o:spid="_x0000_s1026" o:spt="20" style="position:absolute;left:0pt;margin-top:168.35pt;height:0pt;width:470.4pt;mso-position-horizontal:center;mso-position-horizontal-relative:margin;z-index:251661312;mso-width-relative:page;mso-height-relative:page;" filled="f" stroked="t" coordsize="21600,21600" o:gfxdata="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LhdydUAAAAIAQAADwAAAAAAAAABACAA&#10;AAAiAAAAZHJzL2Rvd25yZXYueG1sUEsBAhQAFAAAAAgAh07iQBODds7XAQAAbgMAAA4AAAAAAAAA&#10;AQAgAAAAJAEAAGRycy9lMm9Eb2MueG1sUEsFBgAAAAAGAAYAWQEAAG0FAAAAAA==&#10;">
                <v:fill on="f" focussize="0,0"/>
                <v:stroke weight="4.5pt" color="#FF0000" linestyle="thinThick" joinstyle="round"/>
                <v:imagedata o:title=""/>
                <o:lock v:ext="edit" aspectratio="f"/>
              </v:line>
            </w:pict>
          </mc:Fallback>
        </mc:AlternateContent>
      </w:r>
      <w:bookmarkEnd w:id="4"/>
      <w:r>
        <w:rPr>
          <w:rFonts w:hint="eastAsia" w:ascii="仿宋_GB2312" w:eastAsia="仿宋_GB2312"/>
          <w:color w:val="000000"/>
          <w:kern w:val="0"/>
          <w:sz w:val="32"/>
          <w:szCs w:val="32"/>
        </w:rPr>
        <w:t>一、各高校要适应新时代人才培养需要，以信息化教学竞赛为抓手，大力推动教师教学能力提升和信息化教学条件设施建设，不断深化信息化教学研究与改革，完善信息化教学及管理体系，充分发挥现代信息技术在增强课堂教学效果，提高人才培养质量方面的积极作用。</w:t>
      </w:r>
    </w:p>
    <w:p>
      <w:pPr>
        <w:ind w:firstLine="604" w:firstLineChars="200"/>
        <w:contextualSpacing/>
        <w:rPr>
          <w:rFonts w:hint="eastAsia" w:ascii="仿宋_GB2312" w:eastAsia="仿宋_GB2312"/>
          <w:color w:val="000000"/>
          <w:sz w:val="32"/>
          <w:szCs w:val="32"/>
        </w:rPr>
      </w:pPr>
      <w:r>
        <w:rPr>
          <w:rFonts w:hint="eastAsia" w:ascii="仿宋_GB2312" w:eastAsia="仿宋_GB2312"/>
          <w:color w:val="000000"/>
          <w:sz w:val="32"/>
          <w:szCs w:val="32"/>
        </w:rPr>
        <w:t>二、各高校要按照竞赛章程（见附件1）要求和组委会具体安排，积极动员和组织广大教师参赛，在校内初赛基础上根据名额（附件2）推荐教师参加省级竞赛。凡未组织校内竞赛活动的，一律不受理该校教师参加省级竞赛。</w:t>
      </w:r>
    </w:p>
    <w:p>
      <w:pPr>
        <w:ind w:firstLine="604" w:firstLineChars="200"/>
        <w:contextualSpacing/>
        <w:rPr>
          <w:rFonts w:hint="eastAsia" w:ascii="仿宋_GB2312" w:eastAsia="仿宋_GB2312"/>
          <w:color w:val="000000"/>
          <w:sz w:val="32"/>
          <w:szCs w:val="32"/>
        </w:rPr>
      </w:pPr>
      <w:r>
        <w:rPr>
          <w:rFonts w:hint="eastAsia" w:ascii="仿宋_GB2312" w:eastAsia="仿宋_GB2312"/>
          <w:color w:val="000000"/>
          <w:sz w:val="32"/>
          <w:szCs w:val="32"/>
        </w:rPr>
        <w:t>三、各高校应将教师教学竞赛获奖及其他相关教学成果情况纳入职务评聘、教学考核、表彰奖励的重要依据，逐步建立和完善信息化教学的激励机制，充分发挥优秀教师的传帮带作用，全面提高教师的信息化教学能力。</w:t>
      </w:r>
    </w:p>
    <w:p>
      <w:pPr>
        <w:ind w:firstLine="604" w:firstLineChars="200"/>
        <w:contextualSpacing/>
        <w:rPr>
          <w:rFonts w:ascii="仿宋_GB2312" w:eastAsia="仿宋_GB2312"/>
          <w:color w:val="000000"/>
          <w:sz w:val="32"/>
          <w:szCs w:val="32"/>
        </w:rPr>
      </w:pPr>
      <w:r>
        <w:rPr>
          <w:rFonts w:hint="eastAsia" w:ascii="仿宋_GB2312" w:eastAsia="仿宋_GB2312"/>
          <w:color w:val="000000"/>
          <w:sz w:val="32"/>
          <w:szCs w:val="32"/>
        </w:rPr>
        <w:t>四、信息化教学竞赛的其他具体事项和竞赛日程安排等，由竞赛组委会办公室（设在湖南省高等教育学会教育技术专业委员会秘书处）另行通知，同时通过教育技术专业委员会网站（http://www.hneta.cn/）及时发布。</w:t>
      </w:r>
    </w:p>
    <w:p>
      <w:pPr>
        <w:contextualSpacing/>
        <w:rPr>
          <w:rFonts w:hint="eastAsia" w:ascii="仿宋_GB2312" w:eastAsia="仿宋_GB2312"/>
          <w:color w:val="000000"/>
          <w:sz w:val="32"/>
          <w:szCs w:val="32"/>
        </w:rPr>
      </w:pPr>
    </w:p>
    <w:p>
      <w:pPr>
        <w:ind w:firstLine="604" w:firstLineChars="200"/>
        <w:contextualSpacing/>
        <w:rPr>
          <w:rFonts w:hint="eastAsia" w:ascii="仿宋_GB2312" w:eastAsia="仿宋_GB2312"/>
          <w:color w:val="000000"/>
          <w:sz w:val="32"/>
          <w:szCs w:val="32"/>
        </w:rPr>
      </w:pPr>
      <w:r>
        <w:rPr>
          <w:rFonts w:hint="eastAsia" w:ascii="仿宋_GB2312" w:eastAsia="仿宋_GB2312"/>
          <w:color w:val="000000"/>
          <w:sz w:val="32"/>
          <w:szCs w:val="32"/>
        </w:rPr>
        <w:t>附件：1.湖南省普通高校教师信息化教学竞赛章程（修订）</w:t>
      </w:r>
    </w:p>
    <w:p>
      <w:pPr>
        <w:ind w:firstLine="1510" w:firstLineChars="500"/>
        <w:contextualSpacing/>
        <w:rPr>
          <w:rFonts w:hint="eastAsia" w:ascii="仿宋_GB2312" w:eastAsia="仿宋_GB2312"/>
          <w:sz w:val="32"/>
          <w:szCs w:val="32"/>
        </w:rPr>
      </w:pPr>
      <w:r>
        <w:rPr>
          <w:rFonts w:hint="eastAsia" w:ascii="仿宋_GB2312" w:eastAsia="仿宋_GB2312"/>
          <w:color w:val="000000"/>
          <w:sz w:val="32"/>
          <w:szCs w:val="32"/>
        </w:rPr>
        <w:t>2.湖南省普通高校教师信息化教学竞赛复赛名额表</w:t>
      </w:r>
    </w:p>
    <w:p>
      <w:pPr>
        <w:ind w:firstLine="1208" w:firstLineChars="400"/>
        <w:contextualSpacing/>
        <w:rPr>
          <w:rFonts w:hint="eastAsia" w:ascii="仿宋_GB2312" w:eastAsia="仿宋_GB2312"/>
          <w:sz w:val="32"/>
          <w:szCs w:val="32"/>
        </w:rPr>
      </w:pPr>
    </w:p>
    <w:p>
      <w:pPr>
        <w:ind w:left="4845" w:leftChars="400" w:hanging="4077" w:hangingChars="1350"/>
        <w:contextualSpacing/>
        <w:rPr>
          <w:rFonts w:hint="eastAsia" w:ascii="仿宋_GB2312" w:eastAsia="仿宋_GB2312"/>
          <w:sz w:val="32"/>
          <w:szCs w:val="32"/>
        </w:rPr>
      </w:pPr>
    </w:p>
    <w:p>
      <w:pPr>
        <w:ind w:left="3744" w:leftChars="1950" w:firstLine="1359" w:firstLineChars="450"/>
        <w:contextualSpacing/>
        <w:rPr>
          <w:rFonts w:hint="eastAsia" w:ascii="仿宋_GB2312" w:eastAsia="仿宋_GB2312"/>
          <w:sz w:val="32"/>
          <w:szCs w:val="32"/>
        </w:rPr>
      </w:pPr>
      <w:r>
        <w:rPr>
          <w:rFonts w:hint="eastAsia" w:ascii="仿宋_GB2312" w:eastAsia="仿宋_GB2312"/>
          <w:sz w:val="32"/>
          <w:szCs w:val="32"/>
        </w:rPr>
        <w:t>湖南省教育厅</w:t>
      </w:r>
    </w:p>
    <w:p>
      <w:pPr>
        <w:ind w:firstLine="4832" w:firstLineChars="1600"/>
        <w:contextualSpacing/>
        <w:rPr>
          <w:rFonts w:ascii="仿宋_GB2312" w:eastAsia="仿宋_GB2312"/>
          <w:sz w:val="32"/>
          <w:szCs w:val="32"/>
        </w:rPr>
      </w:pPr>
      <w:r>
        <w:rPr>
          <w:rFonts w:hint="eastAsia" w:ascii="仿宋_GB2312" w:eastAsia="仿宋_GB2312"/>
          <w:sz w:val="32"/>
          <w:szCs w:val="32"/>
        </w:rPr>
        <w:t>2018年4月19日</w:t>
      </w:r>
    </w:p>
    <w:p>
      <w:pPr>
        <w:widowControl/>
        <w:jc w:val="left"/>
        <w:rPr>
          <w:rFonts w:ascii="仿宋_GB2312" w:eastAsia="仿宋_GB2312"/>
          <w:sz w:val="32"/>
          <w:szCs w:val="32"/>
        </w:rPr>
      </w:pPr>
      <w:r>
        <w:rPr>
          <w:rFonts w:ascii="仿宋_GB2312" w:eastAsia="仿宋_GB2312"/>
          <w:sz w:val="32"/>
          <w:szCs w:val="32"/>
        </w:rPr>
        <w:br w:type="page"/>
      </w:r>
    </w:p>
    <w:p>
      <w:pPr>
        <w:contextualSpacing/>
        <w:rPr>
          <w:rFonts w:hint="eastAsia" w:ascii="黑体" w:hAnsi="黑体" w:eastAsia="黑体"/>
          <w:sz w:val="32"/>
          <w:szCs w:val="32"/>
        </w:rPr>
      </w:pPr>
      <w:r>
        <w:rPr>
          <w:rFonts w:hint="eastAsia" w:ascii="黑体" w:hAnsi="黑体" w:eastAsia="黑体"/>
          <w:sz w:val="32"/>
          <w:szCs w:val="32"/>
        </w:rPr>
        <w:t>附件1</w:t>
      </w:r>
    </w:p>
    <w:p>
      <w:pPr>
        <w:snapToGrid w:val="0"/>
        <w:spacing w:line="580" w:lineRule="exact"/>
        <w:jc w:val="center"/>
        <w:rPr>
          <w:rFonts w:hint="eastAsia" w:ascii="方正小标宋简体" w:eastAsia="方正小标宋简体"/>
          <w:sz w:val="44"/>
          <w:szCs w:val="44"/>
        </w:rPr>
      </w:pPr>
      <w:r>
        <w:rPr>
          <w:rFonts w:hint="eastAsia" w:ascii="方正小标宋简体" w:eastAsia="方正小标宋简体"/>
          <w:sz w:val="44"/>
          <w:szCs w:val="44"/>
        </w:rPr>
        <w:t>湖南省普通高校教师信息化教学竞赛章程</w:t>
      </w:r>
    </w:p>
    <w:p>
      <w:pPr>
        <w:contextualSpacing/>
        <w:jc w:val="center"/>
        <w:rPr>
          <w:rFonts w:hint="eastAsia" w:ascii="楷体_GB2312" w:eastAsia="楷体_GB2312"/>
          <w:b/>
          <w:sz w:val="32"/>
          <w:szCs w:val="32"/>
        </w:rPr>
      </w:pPr>
      <w:r>
        <w:rPr>
          <w:rFonts w:hint="eastAsia" w:ascii="楷体_GB2312" w:eastAsia="楷体_GB2312"/>
          <w:b/>
          <w:sz w:val="32"/>
          <w:szCs w:val="32"/>
        </w:rPr>
        <w:t>（修    订）</w:t>
      </w:r>
    </w:p>
    <w:p>
      <w:pPr>
        <w:spacing w:line="580" w:lineRule="exact"/>
        <w:ind w:firstLine="592" w:firstLineChars="196"/>
        <w:contextualSpacing/>
        <w:rPr>
          <w:rFonts w:hint="eastAsia" w:ascii="仿宋_GB2312" w:eastAsia="仿宋_GB2312"/>
          <w:sz w:val="32"/>
          <w:szCs w:val="32"/>
        </w:rPr>
      </w:pPr>
    </w:p>
    <w:p>
      <w:pPr>
        <w:ind w:firstLine="604" w:firstLineChars="200"/>
        <w:contextualSpacing/>
        <w:rPr>
          <w:rFonts w:hint="eastAsia" w:ascii="黑体" w:hAnsi="黑体" w:eastAsia="黑体"/>
          <w:sz w:val="32"/>
          <w:szCs w:val="32"/>
        </w:rPr>
      </w:pPr>
      <w:r>
        <w:rPr>
          <w:rFonts w:hint="eastAsia" w:ascii="黑体" w:hAnsi="黑体" w:eastAsia="黑体"/>
          <w:sz w:val="32"/>
          <w:szCs w:val="32"/>
        </w:rPr>
        <w:t>一、竞赛目的</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1．推动全省高校更加重视多媒体、网络、通信等信息技术在课程教学中的科学应用，进一步深化教学改革，优化教学条件，不断提高人才培养能力与质量。</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2．引导广大高校教师积极应用现代信息技术手段，不断更新教学理念，创新教学模式，改进教学方法，增强教学效果，不断提升教学业务能力与水平。</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3．探索高校信息化教学的评价标准，完善信息化教学的激励机制，营造信息化教学的浓厚氛围，推动信息化教学资源的建设与共享。</w:t>
      </w:r>
    </w:p>
    <w:p>
      <w:pPr>
        <w:ind w:firstLine="604" w:firstLineChars="200"/>
        <w:contextualSpacing/>
        <w:rPr>
          <w:rFonts w:hint="eastAsia" w:ascii="黑体" w:hAnsi="黑体" w:eastAsia="黑体"/>
          <w:sz w:val="32"/>
          <w:szCs w:val="32"/>
        </w:rPr>
      </w:pPr>
      <w:r>
        <w:rPr>
          <w:rFonts w:hint="eastAsia" w:ascii="黑体" w:hAnsi="黑体" w:eastAsia="黑体"/>
          <w:sz w:val="32"/>
          <w:szCs w:val="32"/>
        </w:rPr>
        <w:t>二、组织领导</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信息化教学竞赛由湖南省教育厅主办，委托湖南省高等教育学会教育技术专业委员会承办，可根据需要邀请高校和企事业单位协办。具体竞赛活动由省教育厅高等教育处指导。</w:t>
      </w:r>
    </w:p>
    <w:p>
      <w:pPr>
        <w:ind w:firstLine="604" w:firstLineChars="200"/>
        <w:contextualSpacing/>
        <w:rPr>
          <w:rFonts w:hint="eastAsia" w:ascii="黑体" w:hAnsi="黑体" w:eastAsia="黑体"/>
          <w:sz w:val="32"/>
          <w:szCs w:val="32"/>
        </w:rPr>
      </w:pPr>
      <w:r>
        <w:rPr>
          <w:rFonts w:hint="eastAsia" w:ascii="黑体" w:hAnsi="黑体" w:eastAsia="黑体"/>
          <w:sz w:val="32"/>
          <w:szCs w:val="32"/>
        </w:rPr>
        <w:t>三、</w:t>
      </w:r>
      <w:bookmarkStart w:id="0" w:name="OLE_LINK21"/>
      <w:bookmarkStart w:id="1" w:name="OLE_LINK22"/>
      <w:r>
        <w:rPr>
          <w:rFonts w:hint="eastAsia" w:ascii="黑体" w:hAnsi="黑体" w:eastAsia="黑体"/>
          <w:sz w:val="32"/>
          <w:szCs w:val="32"/>
        </w:rPr>
        <w:t>参赛对象</w:t>
      </w:r>
      <w:bookmarkEnd w:id="0"/>
      <w:bookmarkEnd w:id="1"/>
    </w:p>
    <w:p>
      <w:pPr>
        <w:ind w:firstLine="604" w:firstLineChars="200"/>
        <w:contextualSpacing/>
        <w:rPr>
          <w:rFonts w:hint="eastAsia" w:ascii="仿宋_GB2312" w:hAnsi="仿宋" w:eastAsia="仿宋_GB2312"/>
          <w:sz w:val="32"/>
          <w:szCs w:val="32"/>
        </w:rPr>
      </w:pPr>
      <w:bookmarkStart w:id="2" w:name="OLE_LINK16"/>
      <w:bookmarkStart w:id="3" w:name="OLE_LINK17"/>
      <w:r>
        <w:rPr>
          <w:rFonts w:hint="eastAsia" w:ascii="仿宋_GB2312" w:hAnsi="仿宋" w:eastAsia="仿宋_GB2312"/>
          <w:sz w:val="32"/>
          <w:szCs w:val="32"/>
        </w:rPr>
        <w:t>全省普通本科学校（含独立学院）近三年承担各学科专业课程教学任务的在职专任教师。近五年已获得本项竞赛一等奖或有两次参赛经历的教师，不再推荐参加竞赛。</w:t>
      </w:r>
    </w:p>
    <w:bookmarkEnd w:id="2"/>
    <w:bookmarkEnd w:id="3"/>
    <w:p>
      <w:pPr>
        <w:ind w:firstLine="604" w:firstLineChars="200"/>
        <w:contextualSpacing/>
        <w:rPr>
          <w:rFonts w:hint="eastAsia" w:ascii="黑体" w:hAnsi="黑体" w:eastAsia="黑体"/>
          <w:sz w:val="32"/>
          <w:szCs w:val="32"/>
        </w:rPr>
      </w:pPr>
      <w:r>
        <w:rPr>
          <w:rFonts w:hint="eastAsia" w:ascii="黑体" w:hAnsi="黑体" w:eastAsia="黑体"/>
          <w:sz w:val="32"/>
          <w:szCs w:val="32"/>
        </w:rPr>
        <w:t>四、参赛要求</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1．软件要求</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教学软件应由参赛教师自主建设或参与建设，教学理念先进，技术应用合理，较好实现信息技术与课程教学的深度融合，无知识产权异议和纠纷；教学软件能够完整体现所授课程的主要内容，有效破解教学中的重点难点问题，交互性能和教学效果较好；教学软件能够合理选用图形图像、音视频、动画等多媒体技术来呈现教学内容，界面布局合理，色彩搭配协调，播放顺畅稳定，导航链接准确，用户体验良好。</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2．教学要求</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正确运用高等教育教学改革新理念和信息化教学新要求设计教学方案、组织教学资源和实施教学过程；准确把握所授课程的基本内容、重点难点等教学要求，必须充分挖掘和利用课程教材的育人因素，教学目标设置和教学内容处理符合大学生认知规律；充分利用信息化的资源及工具改革课堂教学，破解教学难题，增强教学效果，有效调动学生自主学习、探究学习的积极性，师生互动好，教学效果好；教师教态自然大方，语言标准生动，讲授条理清晰，形成了鲜明的教学风格。</w:t>
      </w:r>
    </w:p>
    <w:p>
      <w:pPr>
        <w:ind w:firstLine="604" w:firstLineChars="200"/>
        <w:contextualSpacing/>
        <w:rPr>
          <w:rFonts w:hint="eastAsia" w:ascii="黑体" w:hAnsi="黑体" w:eastAsia="黑体"/>
          <w:sz w:val="32"/>
          <w:szCs w:val="32"/>
        </w:rPr>
      </w:pPr>
      <w:r>
        <w:rPr>
          <w:rFonts w:hint="eastAsia" w:ascii="黑体" w:hAnsi="黑体" w:eastAsia="黑体"/>
          <w:sz w:val="32"/>
          <w:szCs w:val="32"/>
        </w:rPr>
        <w:t>五、竞赛分组</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信息化教学竞赛按文科组、理工组、实践组三个组别进行比赛，参赛教师可根据参赛课程及其教学软件（多媒体课件、网络课程、在线开放课程、虚拟仿真实验等）性质，选择参加文科组、理工组或实践组竞赛，展示自己的信息化教学水平。</w:t>
      </w:r>
    </w:p>
    <w:p>
      <w:pPr>
        <w:ind w:firstLine="604" w:firstLineChars="200"/>
        <w:contextualSpacing/>
        <w:rPr>
          <w:rFonts w:hint="eastAsia" w:ascii="黑体" w:hAnsi="黑体" w:eastAsia="黑体"/>
          <w:sz w:val="32"/>
          <w:szCs w:val="32"/>
        </w:rPr>
      </w:pPr>
      <w:r>
        <w:rPr>
          <w:rFonts w:hint="eastAsia" w:ascii="黑体" w:hAnsi="黑体" w:eastAsia="黑体"/>
          <w:sz w:val="32"/>
          <w:szCs w:val="32"/>
        </w:rPr>
        <w:t>六、竞赛程序</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1．初赛</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各高校根据竞赛章程和组委会工作安排，自主制定方案组织校内初赛。在此基础上，根据年度分配名额择优推荐教师参加省级竞赛。推荐参加省级竞赛的教师名单须在校园网公示一周时间，经公示无异议后方可上报。</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2．复赛</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复赛教师应提交涵盖所授课程全部内容的教学软件以及介绍和展示该软件应用的微视频，同时提交若干典型教学应用的教学内容目录（供决赛时随机抽选）。微视频限10分钟以内，并遵循统一的技术标准（编码格式：wmv\flv\mp4；码率：500－1024kbps；分辨率：720×576－1280×720或640×480－1024×576）。教学</w:t>
      </w:r>
      <w:r>
        <w:rPr>
          <w:rFonts w:hint="eastAsia" w:ascii="仿宋_GB2312" w:hAnsi="仿宋" w:eastAsia="仿宋_GB2312"/>
          <w:spacing w:val="-6"/>
          <w:sz w:val="32"/>
          <w:szCs w:val="32"/>
        </w:rPr>
        <w:t>软件一般以U盘形式提供，并附必要的使用说明；教学软件为互联网资源的，须提供相应网址和用户名密码，并确保随时能够访问</w:t>
      </w:r>
      <w:r>
        <w:rPr>
          <w:rFonts w:hint="eastAsia" w:ascii="仿宋_GB2312" w:hAnsi="仿宋" w:eastAsia="仿宋_GB2312"/>
          <w:sz w:val="32"/>
          <w:szCs w:val="32"/>
        </w:rPr>
        <w:t>。</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组委会根据竞赛分组，分别组织专家对参赛教师的软件及教学进行评分（具体评分细则由湖南省高等教育学会教育技术专业委员会组织制订并及时发布，其中软件和教学各按50%折算总分），从高到低依次取各组复赛成绩前30%左右的教师进入决赛。</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为确保公平公正，参赛教师提交的材料不得透露任何个人与学校信息，一经发现将取消复赛资格。</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3．决赛</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现场将从每位参赛教师提交的若干典型教育应用的教学内容目录中随机抽取一个教学内容，参赛教师进行10分钟左右的现场教学并进行公开答辩，由专家组根据评分细则进行打分。为确保公平公正，决赛过程实行专家当场打分和亮分，同时接受全省高校教师的观摩和监督。</w:t>
      </w:r>
    </w:p>
    <w:p>
      <w:pPr>
        <w:ind w:firstLine="604" w:firstLineChars="200"/>
        <w:contextualSpacing/>
        <w:rPr>
          <w:rFonts w:hint="eastAsia" w:ascii="黑体" w:hAnsi="黑体" w:eastAsia="黑体"/>
          <w:sz w:val="32"/>
          <w:szCs w:val="32"/>
        </w:rPr>
      </w:pPr>
      <w:r>
        <w:rPr>
          <w:rFonts w:hint="eastAsia" w:ascii="黑体" w:hAnsi="黑体" w:eastAsia="黑体"/>
          <w:sz w:val="32"/>
          <w:szCs w:val="32"/>
        </w:rPr>
        <w:t xml:space="preserve">七、竞赛评奖 </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1．奖项设置</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竞赛设个人奖和组织奖。个人奖按各组别复赛教师人数设奖，其中一等奖20%，二等奖30%，三等奖30%。组织奖按参赛学校总数的20%左右设奖。</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2．评奖办法</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个人奖根据教师参加省级竞赛的总成绩从高到低按比例依次确定。其中，参加决赛教师的总成绩由复赛和决赛成绩折合计算（各占50%），若成绩相同，则以决赛成绩排序确定获奖等级；未进入决赛的参赛教师，按复赛成绩排序确定获奖等级。</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组织奖由竞赛组委会根据校内初赛组织及省级竞赛获奖等情况，经综合评议后投票确定。</w:t>
      </w:r>
    </w:p>
    <w:p>
      <w:pPr>
        <w:ind w:firstLine="604" w:firstLineChars="200"/>
        <w:contextualSpacing/>
        <w:rPr>
          <w:rFonts w:hint="eastAsia" w:ascii="仿宋_GB2312" w:hAnsi="仿宋" w:eastAsia="仿宋_GB2312"/>
          <w:sz w:val="32"/>
          <w:szCs w:val="32"/>
        </w:rPr>
      </w:pPr>
      <w:r>
        <w:rPr>
          <w:rFonts w:hint="eastAsia" w:ascii="仿宋_GB2312" w:hAnsi="仿宋" w:eastAsia="仿宋_GB2312"/>
          <w:sz w:val="32"/>
          <w:szCs w:val="32"/>
        </w:rPr>
        <w:t>上述获奖结果由竞赛组委会通过网络进行公示并负责处理异议，公示期不少于一周。</w:t>
      </w:r>
    </w:p>
    <w:p>
      <w:pPr>
        <w:ind w:firstLine="604" w:firstLineChars="200"/>
        <w:contextualSpacing/>
        <w:rPr>
          <w:rFonts w:hint="eastAsia" w:ascii="楷体_GB2312" w:hAnsi="仿宋" w:eastAsia="楷体_GB2312"/>
          <w:b/>
          <w:sz w:val="32"/>
          <w:szCs w:val="32"/>
        </w:rPr>
      </w:pPr>
      <w:r>
        <w:rPr>
          <w:rFonts w:hint="eastAsia" w:ascii="楷体_GB2312" w:hAnsi="仿宋" w:eastAsia="楷体_GB2312"/>
          <w:b/>
          <w:sz w:val="32"/>
          <w:szCs w:val="32"/>
        </w:rPr>
        <w:t>3．奖励办法</w:t>
      </w:r>
    </w:p>
    <w:p>
      <w:pPr>
        <w:ind w:firstLine="604" w:firstLineChars="200"/>
        <w:contextualSpacing/>
        <w:rPr>
          <w:rFonts w:ascii="仿宋_GB2312" w:hAnsi="仿宋" w:eastAsia="仿宋_GB2312"/>
          <w:sz w:val="32"/>
          <w:szCs w:val="32"/>
        </w:rPr>
      </w:pPr>
      <w:r>
        <w:rPr>
          <w:rFonts w:hint="eastAsia" w:ascii="仿宋_GB2312" w:hAnsi="仿宋" w:eastAsia="仿宋_GB2312"/>
          <w:sz w:val="32"/>
          <w:szCs w:val="32"/>
        </w:rPr>
        <w:t>对经公示无异议的竞赛获奖教师和单位，由省教育厅发文通报并颁发相应的荣誉证书、奖牌。</w:t>
      </w:r>
    </w:p>
    <w:p>
      <w:pPr>
        <w:snapToGrid w:val="0"/>
        <w:rPr>
          <w:rFonts w:ascii="黑体" w:hAnsi="黑体" w:eastAsia="黑体"/>
          <w:sz w:val="32"/>
          <w:szCs w:val="32"/>
        </w:rPr>
      </w:pPr>
      <w:r>
        <w:rPr>
          <w:rFonts w:hint="eastAsia" w:ascii="黑体" w:hAnsi="黑体" w:eastAsia="黑体"/>
          <w:sz w:val="32"/>
          <w:szCs w:val="32"/>
        </w:rPr>
        <w:t>附件2</w:t>
      </w:r>
    </w:p>
    <w:p>
      <w:pPr>
        <w:spacing w:line="600" w:lineRule="exact"/>
        <w:jc w:val="center"/>
        <w:rPr>
          <w:rFonts w:ascii="方正小标宋简体" w:eastAsia="方正小标宋简体"/>
          <w:bCs/>
          <w:color w:val="000000" w:themeColor="text1"/>
          <w:sz w:val="44"/>
          <w:szCs w:val="44"/>
          <w14:textFill>
            <w14:solidFill>
              <w14:schemeClr w14:val="tx1"/>
            </w14:solidFill>
          </w14:textFill>
        </w:rPr>
      </w:pPr>
      <w:r>
        <w:rPr>
          <w:rFonts w:hint="eastAsia" w:ascii="方正小标宋简体" w:eastAsia="方正小标宋简体"/>
          <w:bCs/>
          <w:color w:val="000000" w:themeColor="text1"/>
          <w:sz w:val="44"/>
          <w:szCs w:val="44"/>
          <w14:textFill>
            <w14:solidFill>
              <w14:schemeClr w14:val="tx1"/>
            </w14:solidFill>
          </w14:textFill>
        </w:rPr>
        <w:t>湖南省普通高校教师</w:t>
      </w:r>
    </w:p>
    <w:p>
      <w:pPr>
        <w:spacing w:line="600" w:lineRule="exact"/>
        <w:jc w:val="center"/>
        <w:rPr>
          <w:rFonts w:hint="eastAsia" w:ascii="方正小标宋简体" w:eastAsia="方正小标宋简体"/>
          <w:bCs/>
          <w:color w:val="000000" w:themeColor="text1"/>
          <w:sz w:val="44"/>
          <w:szCs w:val="44"/>
          <w14:textFill>
            <w14:solidFill>
              <w14:schemeClr w14:val="tx1"/>
            </w14:solidFill>
          </w14:textFill>
        </w:rPr>
      </w:pPr>
      <w:r>
        <w:rPr>
          <w:rFonts w:hint="eastAsia" w:ascii="方正小标宋简体" w:eastAsia="方正小标宋简体"/>
          <w:bCs/>
          <w:color w:val="000000" w:themeColor="text1"/>
          <w:sz w:val="44"/>
          <w:szCs w:val="44"/>
          <w14:textFill>
            <w14:solidFill>
              <w14:schemeClr w14:val="tx1"/>
            </w14:solidFill>
          </w14:textFill>
        </w:rPr>
        <w:t>信息化教学竞赛复赛名额表</w:t>
      </w:r>
    </w:p>
    <w:tbl>
      <w:tblPr>
        <w:tblStyle w:val="4"/>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6"/>
        <w:gridCol w:w="644"/>
        <w:gridCol w:w="4164"/>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3236" w:type="dxa"/>
            <w:tcMar>
              <w:left w:w="28" w:type="dxa"/>
              <w:right w:w="28" w:type="dxa"/>
            </w:tcMar>
            <w:vAlign w:val="center"/>
          </w:tcPr>
          <w:p>
            <w:pPr>
              <w:autoSpaceDN w:val="0"/>
              <w:snapToGrid w:val="0"/>
              <w:jc w:val="center"/>
              <w:rPr>
                <w:rFonts w:asciiTheme="minorEastAsia" w:hAnsiTheme="minorEastAsia" w:eastAsiaTheme="minorEastAsia"/>
                <w:sz w:val="24"/>
              </w:rPr>
            </w:pPr>
            <w:r>
              <w:rPr>
                <w:rFonts w:asciiTheme="minorEastAsia" w:hAnsiTheme="minorEastAsia" w:eastAsiaTheme="minorEastAsia"/>
                <w:sz w:val="24"/>
              </w:rPr>
              <w:t>学校名称</w:t>
            </w:r>
          </w:p>
        </w:tc>
        <w:tc>
          <w:tcPr>
            <w:tcW w:w="644" w:type="dxa"/>
            <w:tcMar>
              <w:left w:w="28" w:type="dxa"/>
              <w:right w:w="28" w:type="dxa"/>
            </w:tcMar>
            <w:vAlign w:val="center"/>
          </w:tcPr>
          <w:p>
            <w:pPr>
              <w:autoSpaceDN w:val="0"/>
              <w:snapToGrid w:val="0"/>
              <w:jc w:val="center"/>
              <w:rPr>
                <w:rFonts w:asciiTheme="minorEastAsia" w:hAnsiTheme="minorEastAsia" w:eastAsiaTheme="minorEastAsia"/>
                <w:sz w:val="24"/>
              </w:rPr>
            </w:pPr>
            <w:r>
              <w:rPr>
                <w:rFonts w:hint="eastAsia" w:asciiTheme="minorEastAsia" w:hAnsiTheme="minorEastAsia" w:eastAsiaTheme="minorEastAsia"/>
                <w:sz w:val="24"/>
              </w:rPr>
              <w:t>参赛</w:t>
            </w:r>
          </w:p>
          <w:p>
            <w:pPr>
              <w:autoSpaceDN w:val="0"/>
              <w:snapToGrid w:val="0"/>
              <w:jc w:val="center"/>
              <w:rPr>
                <w:rFonts w:asciiTheme="minorEastAsia" w:hAnsiTheme="minorEastAsia" w:eastAsiaTheme="minorEastAsia"/>
                <w:sz w:val="24"/>
              </w:rPr>
            </w:pPr>
            <w:r>
              <w:rPr>
                <w:rFonts w:hint="eastAsia" w:asciiTheme="minorEastAsia" w:hAnsiTheme="minorEastAsia" w:eastAsiaTheme="minorEastAsia"/>
                <w:sz w:val="24"/>
              </w:rPr>
              <w:t>名额</w:t>
            </w:r>
          </w:p>
        </w:tc>
        <w:tc>
          <w:tcPr>
            <w:tcW w:w="4164" w:type="dxa"/>
            <w:tcMar>
              <w:left w:w="28" w:type="dxa"/>
              <w:right w:w="28" w:type="dxa"/>
            </w:tcMar>
            <w:vAlign w:val="center"/>
          </w:tcPr>
          <w:p>
            <w:pPr>
              <w:autoSpaceDN w:val="0"/>
              <w:snapToGrid w:val="0"/>
              <w:jc w:val="center"/>
              <w:textAlignment w:val="center"/>
              <w:rPr>
                <w:rFonts w:asciiTheme="minorEastAsia" w:hAnsiTheme="minorEastAsia" w:eastAsiaTheme="minorEastAsia"/>
                <w:sz w:val="24"/>
              </w:rPr>
            </w:pPr>
            <w:r>
              <w:rPr>
                <w:rFonts w:asciiTheme="minorEastAsia" w:hAnsiTheme="minorEastAsia" w:eastAsiaTheme="minorEastAsia"/>
                <w:sz w:val="24"/>
              </w:rPr>
              <w:t>学校名称</w:t>
            </w:r>
          </w:p>
        </w:tc>
        <w:tc>
          <w:tcPr>
            <w:tcW w:w="636" w:type="dxa"/>
            <w:tcMar>
              <w:left w:w="28" w:type="dxa"/>
              <w:right w:w="28" w:type="dxa"/>
            </w:tcMar>
            <w:vAlign w:val="center"/>
          </w:tcPr>
          <w:p>
            <w:pPr>
              <w:autoSpaceDN w:val="0"/>
              <w:snapToGrid w:val="0"/>
              <w:jc w:val="center"/>
              <w:rPr>
                <w:rFonts w:asciiTheme="minorEastAsia" w:hAnsiTheme="minorEastAsia" w:eastAsiaTheme="minorEastAsia"/>
                <w:sz w:val="24"/>
              </w:rPr>
            </w:pPr>
            <w:r>
              <w:rPr>
                <w:rFonts w:hint="eastAsia" w:asciiTheme="minorEastAsia" w:hAnsiTheme="minorEastAsia" w:eastAsiaTheme="minorEastAsia"/>
                <w:sz w:val="24"/>
              </w:rPr>
              <w:t>参赛</w:t>
            </w:r>
          </w:p>
          <w:p>
            <w:pPr>
              <w:autoSpaceDN w:val="0"/>
              <w:snapToGrid w:val="0"/>
              <w:jc w:val="center"/>
              <w:rPr>
                <w:rFonts w:asciiTheme="minorEastAsia" w:hAnsiTheme="minorEastAsia" w:eastAsiaTheme="minorEastAsia"/>
                <w:sz w:val="24"/>
              </w:rPr>
            </w:pPr>
            <w:r>
              <w:rPr>
                <w:rFonts w:hint="eastAsia" w:asciiTheme="minorEastAsia" w:hAnsiTheme="minorEastAsia" w:eastAsiaTheme="minorEastAsia"/>
                <w:sz w:val="24"/>
              </w:rPr>
              <w:t>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国防科技大学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湖南第一师范学院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中南大学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湖南涉外经济学院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长沙医学院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湖南师范大学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湖南财政经济学院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湘潭大学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湖南警察学院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长沙理工大学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湖南女子学院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湖南农业大学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长沙师范学院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中南林业科技大学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湖南医药学院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南华大学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湖南交通工程学院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湖南科技大学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湖南应用技术学院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湖南中医药大学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湖南信息学院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湖南工业大学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湖南师范大学树达学院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吉首大学</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湘潭大学兴湘学院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湖南商学院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长沙理工大学城南学院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湖南理工学院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湖南农业大学东方科技学院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湖南工程学院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中南林业科技大学涉外学院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湖南文理学院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南华大学船山学院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衡阳师范学院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湖南科技大学潇湘学院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怀化学院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湖南中医药大学湘杏学院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邵阳学院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湖南工业大学科技学院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湘南学院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吉首大学张家界学院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湖南科技学院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湖南商学院北津学院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湖南城市学院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湖南理工学院南湖学院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湖南人文科技学院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湖南文理学院芙蓉学院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长沙学院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衡阳师范学院南岳学院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vAlign w:val="center"/>
          </w:tcPr>
          <w:p>
            <w:pPr>
              <w:autoSpaceDN w:val="0"/>
              <w:snapToGrid w:val="0"/>
              <w:textAlignment w:val="center"/>
              <w:rPr>
                <w:rFonts w:asciiTheme="minorEastAsia" w:hAnsiTheme="minorEastAsia" w:eastAsiaTheme="minorEastAsia"/>
                <w:sz w:val="24"/>
              </w:rPr>
            </w:pPr>
            <w:r>
              <w:rPr>
                <w:rFonts w:asciiTheme="minorEastAsia" w:hAnsiTheme="minorEastAsia" w:eastAsiaTheme="minorEastAsia"/>
                <w:sz w:val="24"/>
              </w:rPr>
              <w:t>湖南工学院</w:t>
            </w:r>
          </w:p>
        </w:tc>
        <w:tc>
          <w:tcPr>
            <w:tcW w:w="644"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4164" w:type="dxa"/>
            <w:vAlign w:val="center"/>
          </w:tcPr>
          <w:p>
            <w:pPr>
              <w:autoSpaceDN w:val="0"/>
              <w:snapToGrid w:val="0"/>
              <w:textAlignment w:val="center"/>
              <w:rPr>
                <w:rFonts w:asciiTheme="minorEastAsia" w:hAnsiTheme="minorEastAsia" w:eastAsiaTheme="minorEastAsia"/>
                <w:sz w:val="24"/>
              </w:rPr>
            </w:pPr>
            <w:r>
              <w:rPr>
                <w:rFonts w:hint="eastAsia" w:asciiTheme="minorEastAsia" w:hAnsiTheme="minorEastAsia" w:eastAsiaTheme="minorEastAsia"/>
                <w:sz w:val="24"/>
              </w:rPr>
              <w:t>湖南工程学院应用技术学院</w:t>
            </w:r>
          </w:p>
        </w:tc>
        <w:tc>
          <w:tcPr>
            <w:tcW w:w="636" w:type="dxa"/>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880" w:type="dxa"/>
            <w:gridSpan w:val="2"/>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总计</w:t>
            </w:r>
          </w:p>
        </w:tc>
        <w:tc>
          <w:tcPr>
            <w:tcW w:w="4800" w:type="dxa"/>
            <w:gridSpan w:val="2"/>
            <w:vAlign w:val="center"/>
          </w:tcPr>
          <w:p>
            <w:pPr>
              <w:autoSpaceDN w:val="0"/>
              <w:snapToGrid w:val="0"/>
              <w:jc w:val="center"/>
              <w:textAlignment w:val="center"/>
              <w:rPr>
                <w:rFonts w:asciiTheme="minorEastAsia" w:hAnsiTheme="minorEastAsia" w:eastAsiaTheme="minorEastAsia"/>
                <w:sz w:val="24"/>
              </w:rPr>
            </w:pPr>
            <w:r>
              <w:rPr>
                <w:rFonts w:hint="eastAsia" w:asciiTheme="minorEastAsia" w:hAnsiTheme="minorEastAsia" w:eastAsiaTheme="minorEastAsia"/>
                <w:sz w:val="24"/>
              </w:rPr>
              <w:t>132</w:t>
            </w:r>
          </w:p>
        </w:tc>
      </w:tr>
    </w:tbl>
    <w:p>
      <w:pPr>
        <w:snapToGrid w:val="0"/>
        <w:ind w:left="523" w:hanging="524" w:hangingChars="200"/>
        <w:rPr>
          <w:rFonts w:hint="eastAsia" w:ascii="仿宋_GB2312" w:eastAsia="仿宋_GB2312"/>
          <w:sz w:val="32"/>
          <w:szCs w:val="32"/>
        </w:rPr>
      </w:pPr>
      <w:r>
        <w:rPr>
          <w:rFonts w:hint="eastAsia" w:ascii="仿宋_GB2312" w:eastAsia="仿宋_GB2312"/>
          <w:color w:val="000000" w:themeColor="text1"/>
          <w:sz w:val="28"/>
          <w:szCs w:val="28"/>
          <w14:textFill>
            <w14:solidFill>
              <w14:schemeClr w14:val="tx1"/>
            </w14:solidFill>
          </w14:textFill>
        </w:rPr>
        <w:t>注：各校根据限额推荐选手报名参赛，但同一复赛组别（文科组、理工组或实践组）不得超过2人。</w:t>
      </w:r>
    </w:p>
    <w:p/>
    <w:sectPr>
      <w:footerReference r:id="rId3" w:type="default"/>
      <w:footerReference r:id="rId4" w:type="even"/>
      <w:pgSz w:w="11906" w:h="16838"/>
      <w:pgMar w:top="1588" w:right="1701" w:bottom="1871" w:left="1758" w:header="851" w:footer="1134" w:gutter="0"/>
      <w:cols w:space="425" w:num="1"/>
      <w:titlePg/>
      <w:docGrid w:type="linesAndChars" w:linePitch="610"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7996859"/>
      <w:docPartObj>
        <w:docPartGallery w:val="autotext"/>
      </w:docPartObj>
    </w:sdtPr>
    <w:sdtEndPr>
      <w:rPr>
        <w:rFonts w:asciiTheme="minorEastAsia" w:hAnsiTheme="minorEastAsia" w:eastAsiaTheme="minorEastAsia"/>
        <w:sz w:val="28"/>
        <w:szCs w:val="28"/>
      </w:rPr>
    </w:sdtEndPr>
    <w:sdtContent>
      <w:p>
        <w:pPr>
          <w:pStyle w:val="2"/>
          <w:jc w:val="right"/>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3</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41921"/>
      <w:docPartObj>
        <w:docPartGallery w:val="autotext"/>
      </w:docPartObj>
    </w:sdtPr>
    <w:sdtEndPr>
      <w:rPr>
        <w:rFonts w:asciiTheme="minorEastAsia" w:hAnsiTheme="minorEastAsia" w:eastAsiaTheme="minorEastAsia"/>
        <w:sz w:val="28"/>
        <w:szCs w:val="28"/>
      </w:rPr>
    </w:sdtEndPr>
    <w:sdtContent>
      <w:p>
        <w:pPr>
          <w:pStyle w:val="2"/>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106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auto"/>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Jenny1417057240</cp:lastModifiedBy>
  <dcterms:modified xsi:type="dcterms:W3CDTF">2018-04-23T06:37:22Z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